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6977" w14:textId="5B2D4207" w:rsidR="00FC4E83" w:rsidRDefault="00C22B62">
      <w:pPr>
        <w:pStyle w:val="Heading1"/>
      </w:pPr>
      <w:r>
        <w:t xml:space="preserve"> </w:t>
      </w:r>
      <w:r w:rsidR="00000000">
        <w:t>ZAID ALBAKER</w:t>
      </w:r>
    </w:p>
    <w:p w14:paraId="57F3D0EC" w14:textId="77777777" w:rsidR="00FC4E83" w:rsidRDefault="00000000">
      <w:pPr>
        <w:pStyle w:val="Heading2"/>
      </w:pPr>
      <w:r>
        <w:t>SENIOR SYSTEMS ENGINEER | AZURE CLOUD &amp; CITRIX PLATFORM SPECIALIST</w:t>
      </w:r>
    </w:p>
    <w:p w14:paraId="3FA2CDA5" w14:textId="20C0CD40" w:rsidR="00FC4E83" w:rsidRDefault="00000000">
      <w:pPr>
        <w:pStyle w:val="Contact"/>
      </w:pPr>
      <w:r>
        <w:t xml:space="preserve">Boston, Massachusetts, United States | </w:t>
      </w:r>
      <w:hyperlink r:id="rId7" w:history="1">
        <w:r w:rsidR="00C22B62" w:rsidRPr="00DC5D92">
          <w:rPr>
            <w:rStyle w:val="Hyperlink"/>
          </w:rPr>
          <w:t>albaker.zaid@albakergroup.com</w:t>
        </w:r>
      </w:hyperlink>
      <w:r>
        <w:t xml:space="preserve"> | 5184917913</w:t>
      </w:r>
    </w:p>
    <w:p w14:paraId="63B7F999" w14:textId="77777777" w:rsidR="00FC4E83" w:rsidRDefault="00FC4E83">
      <w:pPr>
        <w:pStyle w:val="AfterSectionPadding"/>
      </w:pPr>
    </w:p>
    <w:tbl>
      <w:tblPr>
        <w:tblW w:w="10800" w:type="auto"/>
        <w:tblBorders>
          <w:top w:val="single" w:sz="1" w:space="0" w:color="2163CA"/>
          <w:bottom w:val="single" w:sz="1" w:space="0" w:color="2163CA"/>
        </w:tblBorders>
        <w:tblLayout w:type="fixed"/>
        <w:tblCellMar>
          <w:left w:w="10" w:type="dxa"/>
          <w:right w:w="10" w:type="dxa"/>
        </w:tblCellMar>
        <w:tblLook w:val="04A0" w:firstRow="1" w:lastRow="0" w:firstColumn="1" w:lastColumn="0" w:noHBand="0" w:noVBand="1"/>
      </w:tblPr>
      <w:tblGrid>
        <w:gridCol w:w="10800"/>
      </w:tblGrid>
      <w:tr w:rsidR="00FC4E83" w14:paraId="2D9459E6" w14:textId="77777777">
        <w:tblPrEx>
          <w:tblCellMar>
            <w:top w:w="0" w:type="dxa"/>
            <w:bottom w:w="0" w:type="dxa"/>
          </w:tblCellMar>
        </w:tblPrEx>
        <w:tc>
          <w:tcPr>
            <w:tcW w:w="10800" w:type="dxa"/>
            <w:tcMar>
              <w:left w:w="0" w:type="dxa"/>
            </w:tcMar>
          </w:tcPr>
          <w:p w14:paraId="23EF4770" w14:textId="77777777" w:rsidR="00FC4E83" w:rsidRDefault="00000000">
            <w:pPr>
              <w:pStyle w:val="Heading3"/>
            </w:pPr>
            <w:r>
              <w:t>PROFILE</w:t>
            </w:r>
          </w:p>
        </w:tc>
      </w:tr>
    </w:tbl>
    <w:p w14:paraId="2F498799" w14:textId="77777777" w:rsidR="00FC4E83" w:rsidRDefault="00FC4E83">
      <w:pPr>
        <w:pStyle w:val="AfterSectionNamePadding"/>
      </w:pPr>
    </w:p>
    <w:p w14:paraId="32E3D784" w14:textId="77777777" w:rsidR="00FC4E83" w:rsidRDefault="00000000">
      <w:r>
        <w:t xml:space="preserve">Hands-on Senior Systems Engineer with over 25 years of experience managing enterprise infrastructure across cloud, virtualization, networking, and backup systems. My career spans from early days racking switches and managing core Windows environments to modern engineering with Azure IaaS/PaaS, Citrix Cloud, and Infrastructure as Code. I focus on making infrastructure reliable, automating repetitive operational tasks, and designing solid disaster recovery strategies. Over the last several years, I have focused heavily on building and managing Citrix DaaS environments inside Microsoft Azure, writing PowerShell and Bicep/Terraform automation, and keeping enterprise backup systems resilient. </w:t>
      </w:r>
    </w:p>
    <w:p w14:paraId="69CFC21C" w14:textId="77777777" w:rsidR="00FC4E83" w:rsidRDefault="00FC4E83">
      <w:pPr>
        <w:pStyle w:val="AfterSectionPadding"/>
      </w:pPr>
    </w:p>
    <w:tbl>
      <w:tblPr>
        <w:tblW w:w="10800" w:type="auto"/>
        <w:tblBorders>
          <w:top w:val="single" w:sz="1" w:space="0" w:color="2163CA"/>
          <w:bottom w:val="single" w:sz="1" w:space="0" w:color="2163CA"/>
        </w:tblBorders>
        <w:tblLayout w:type="fixed"/>
        <w:tblCellMar>
          <w:left w:w="10" w:type="dxa"/>
          <w:right w:w="10" w:type="dxa"/>
        </w:tblCellMar>
        <w:tblLook w:val="04A0" w:firstRow="1" w:lastRow="0" w:firstColumn="1" w:lastColumn="0" w:noHBand="0" w:noVBand="1"/>
      </w:tblPr>
      <w:tblGrid>
        <w:gridCol w:w="10800"/>
      </w:tblGrid>
      <w:tr w:rsidR="00FC4E83" w14:paraId="304E0580" w14:textId="77777777">
        <w:tblPrEx>
          <w:tblCellMar>
            <w:top w:w="0" w:type="dxa"/>
            <w:bottom w:w="0" w:type="dxa"/>
          </w:tblCellMar>
        </w:tblPrEx>
        <w:tc>
          <w:tcPr>
            <w:tcW w:w="10800" w:type="dxa"/>
            <w:tcMar>
              <w:left w:w="0" w:type="dxa"/>
            </w:tcMar>
          </w:tcPr>
          <w:p w14:paraId="6256A03C" w14:textId="77777777" w:rsidR="00FC4E83" w:rsidRDefault="00000000">
            <w:pPr>
              <w:pStyle w:val="Heading3"/>
            </w:pPr>
            <w:r>
              <w:t>TECHNICAL SKILLS</w:t>
            </w:r>
          </w:p>
        </w:tc>
      </w:tr>
    </w:tbl>
    <w:p w14:paraId="3C35C1F6" w14:textId="77777777" w:rsidR="00FC4E83" w:rsidRDefault="00FC4E83">
      <w:pPr>
        <w:pStyle w:val="AfterSectionNamePadding"/>
      </w:pPr>
    </w:p>
    <w:tbl>
      <w:tblPr>
        <w:tblW w:w="10800" w:type="auto"/>
        <w:tblLayout w:type="fixed"/>
        <w:tblCellMar>
          <w:left w:w="10" w:type="dxa"/>
          <w:right w:w="10" w:type="dxa"/>
        </w:tblCellMar>
        <w:tblLook w:val="04A0" w:firstRow="1" w:lastRow="0" w:firstColumn="1" w:lastColumn="0" w:noHBand="0" w:noVBand="1"/>
      </w:tblPr>
      <w:tblGrid>
        <w:gridCol w:w="2700"/>
        <w:gridCol w:w="2700"/>
        <w:gridCol w:w="2700"/>
        <w:gridCol w:w="2700"/>
      </w:tblGrid>
      <w:tr w:rsidR="00FC4E83" w14:paraId="2898EDA1" w14:textId="77777777">
        <w:tblPrEx>
          <w:tblCellMar>
            <w:top w:w="0" w:type="dxa"/>
            <w:bottom w:w="0" w:type="dxa"/>
          </w:tblCellMar>
        </w:tblPrEx>
        <w:tc>
          <w:tcPr>
            <w:tcW w:w="2700" w:type="dxa"/>
          </w:tcPr>
          <w:p w14:paraId="755ED8A0" w14:textId="77777777" w:rsidR="00FC4E83" w:rsidRDefault="00000000">
            <w:pPr>
              <w:spacing w:after="40"/>
            </w:pPr>
            <w:r>
              <w:t>• Microsoft Azure</w:t>
            </w:r>
          </w:p>
        </w:tc>
        <w:tc>
          <w:tcPr>
            <w:tcW w:w="2700" w:type="dxa"/>
          </w:tcPr>
          <w:p w14:paraId="52A95F4B" w14:textId="77777777" w:rsidR="00FC4E83" w:rsidRDefault="00000000">
            <w:pPr>
              <w:spacing w:after="40"/>
            </w:pPr>
            <w:r>
              <w:t>• Azure Virtual Desktop (AVD)</w:t>
            </w:r>
          </w:p>
        </w:tc>
        <w:tc>
          <w:tcPr>
            <w:tcW w:w="2700" w:type="dxa"/>
          </w:tcPr>
          <w:p w14:paraId="46B9B31C" w14:textId="77777777" w:rsidR="00FC4E83" w:rsidRDefault="00000000">
            <w:pPr>
              <w:spacing w:after="40"/>
            </w:pPr>
            <w:r>
              <w:t>• Citrix DaaS / Cloud</w:t>
            </w:r>
          </w:p>
        </w:tc>
        <w:tc>
          <w:tcPr>
            <w:tcW w:w="2700" w:type="dxa"/>
          </w:tcPr>
          <w:p w14:paraId="5D192478" w14:textId="77777777" w:rsidR="00FC4E83" w:rsidRDefault="00000000">
            <w:pPr>
              <w:spacing w:after="40"/>
            </w:pPr>
            <w:r>
              <w:t>• Virtual Apps &amp; Desktops</w:t>
            </w:r>
          </w:p>
        </w:tc>
      </w:tr>
      <w:tr w:rsidR="00FC4E83" w14:paraId="6D2A3786" w14:textId="77777777">
        <w:tblPrEx>
          <w:tblCellMar>
            <w:top w:w="0" w:type="dxa"/>
            <w:bottom w:w="0" w:type="dxa"/>
          </w:tblCellMar>
        </w:tblPrEx>
        <w:tc>
          <w:tcPr>
            <w:tcW w:w="2700" w:type="dxa"/>
          </w:tcPr>
          <w:p w14:paraId="0DE111C2" w14:textId="77777777" w:rsidR="00FC4E83" w:rsidRDefault="00000000">
            <w:pPr>
              <w:spacing w:after="40"/>
            </w:pPr>
            <w:r>
              <w:t>• VMware vSphere 7.x/8.x</w:t>
            </w:r>
          </w:p>
        </w:tc>
        <w:tc>
          <w:tcPr>
            <w:tcW w:w="2700" w:type="dxa"/>
          </w:tcPr>
          <w:p w14:paraId="0E72F1E8" w14:textId="77777777" w:rsidR="00FC4E83" w:rsidRDefault="00000000">
            <w:pPr>
              <w:spacing w:after="40"/>
            </w:pPr>
            <w:r>
              <w:t>• vCenter</w:t>
            </w:r>
          </w:p>
        </w:tc>
        <w:tc>
          <w:tcPr>
            <w:tcW w:w="2700" w:type="dxa"/>
          </w:tcPr>
          <w:p w14:paraId="6AB70E1F" w14:textId="77777777" w:rsidR="00FC4E83" w:rsidRDefault="00000000">
            <w:pPr>
              <w:spacing w:after="40"/>
            </w:pPr>
            <w:r>
              <w:t>• Hyper-V</w:t>
            </w:r>
          </w:p>
        </w:tc>
        <w:tc>
          <w:tcPr>
            <w:tcW w:w="2700" w:type="dxa"/>
          </w:tcPr>
          <w:p w14:paraId="0BA5A7FC" w14:textId="77777777" w:rsidR="00FC4E83" w:rsidRDefault="00000000">
            <w:pPr>
              <w:spacing w:after="40"/>
            </w:pPr>
            <w:r>
              <w:t>• PowerShell</w:t>
            </w:r>
          </w:p>
        </w:tc>
      </w:tr>
      <w:tr w:rsidR="00FC4E83" w14:paraId="325F2EE9" w14:textId="77777777">
        <w:tblPrEx>
          <w:tblCellMar>
            <w:top w:w="0" w:type="dxa"/>
            <w:bottom w:w="0" w:type="dxa"/>
          </w:tblCellMar>
        </w:tblPrEx>
        <w:tc>
          <w:tcPr>
            <w:tcW w:w="2700" w:type="dxa"/>
          </w:tcPr>
          <w:p w14:paraId="07A10CBD" w14:textId="77777777" w:rsidR="00FC4E83" w:rsidRDefault="00000000">
            <w:pPr>
              <w:spacing w:after="40"/>
            </w:pPr>
            <w:r>
              <w:t>• Terraform</w:t>
            </w:r>
          </w:p>
        </w:tc>
        <w:tc>
          <w:tcPr>
            <w:tcW w:w="2700" w:type="dxa"/>
          </w:tcPr>
          <w:p w14:paraId="48726848" w14:textId="77777777" w:rsidR="00FC4E83" w:rsidRDefault="00000000">
            <w:pPr>
              <w:spacing w:after="40"/>
            </w:pPr>
            <w:r>
              <w:t>• Bicep</w:t>
            </w:r>
          </w:p>
        </w:tc>
        <w:tc>
          <w:tcPr>
            <w:tcW w:w="2700" w:type="dxa"/>
          </w:tcPr>
          <w:p w14:paraId="68175FC8" w14:textId="77777777" w:rsidR="00FC4E83" w:rsidRDefault="00000000">
            <w:pPr>
              <w:spacing w:after="40"/>
            </w:pPr>
            <w:r>
              <w:t>• CI/CD pipelines</w:t>
            </w:r>
          </w:p>
        </w:tc>
        <w:tc>
          <w:tcPr>
            <w:tcW w:w="2700" w:type="dxa"/>
          </w:tcPr>
          <w:p w14:paraId="63C25C63" w14:textId="77777777" w:rsidR="00FC4E83" w:rsidRDefault="00000000">
            <w:pPr>
              <w:spacing w:after="40"/>
            </w:pPr>
            <w:r>
              <w:t>• GitHub Copilot</w:t>
            </w:r>
          </w:p>
        </w:tc>
      </w:tr>
      <w:tr w:rsidR="00FC4E83" w14:paraId="29B4A002" w14:textId="77777777">
        <w:tblPrEx>
          <w:tblCellMar>
            <w:top w:w="0" w:type="dxa"/>
            <w:bottom w:w="0" w:type="dxa"/>
          </w:tblCellMar>
        </w:tblPrEx>
        <w:tc>
          <w:tcPr>
            <w:tcW w:w="2700" w:type="dxa"/>
          </w:tcPr>
          <w:p w14:paraId="08977E89" w14:textId="77777777" w:rsidR="00FC4E83" w:rsidRDefault="00000000">
            <w:pPr>
              <w:spacing w:after="40"/>
            </w:pPr>
            <w:r>
              <w:t>• Cursor</w:t>
            </w:r>
          </w:p>
        </w:tc>
        <w:tc>
          <w:tcPr>
            <w:tcW w:w="2700" w:type="dxa"/>
          </w:tcPr>
          <w:p w14:paraId="36DDF1BC" w14:textId="77777777" w:rsidR="00FC4E83" w:rsidRDefault="00000000">
            <w:pPr>
              <w:spacing w:after="40"/>
            </w:pPr>
            <w:r>
              <w:t>• Windows Server (2016 through 2025)</w:t>
            </w:r>
          </w:p>
        </w:tc>
        <w:tc>
          <w:tcPr>
            <w:tcW w:w="2700" w:type="dxa"/>
          </w:tcPr>
          <w:p w14:paraId="7B8F9A53" w14:textId="77777777" w:rsidR="00FC4E83" w:rsidRDefault="00000000">
            <w:pPr>
              <w:spacing w:after="40"/>
            </w:pPr>
            <w:r>
              <w:t>• Active Directory</w:t>
            </w:r>
          </w:p>
        </w:tc>
        <w:tc>
          <w:tcPr>
            <w:tcW w:w="2700" w:type="dxa"/>
          </w:tcPr>
          <w:p w14:paraId="4F206AF9" w14:textId="77777777" w:rsidR="00FC4E83" w:rsidRDefault="00000000">
            <w:pPr>
              <w:spacing w:after="40"/>
            </w:pPr>
            <w:r>
              <w:t>• Group Policy</w:t>
            </w:r>
          </w:p>
        </w:tc>
      </w:tr>
      <w:tr w:rsidR="00FC4E83" w14:paraId="2E4C6AB6" w14:textId="77777777">
        <w:tblPrEx>
          <w:tblCellMar>
            <w:top w:w="0" w:type="dxa"/>
            <w:bottom w:w="0" w:type="dxa"/>
          </w:tblCellMar>
        </w:tblPrEx>
        <w:tc>
          <w:tcPr>
            <w:tcW w:w="2700" w:type="dxa"/>
          </w:tcPr>
          <w:p w14:paraId="116B467E" w14:textId="77777777" w:rsidR="00FC4E83" w:rsidRDefault="00000000">
            <w:pPr>
              <w:spacing w:after="40"/>
            </w:pPr>
            <w:r>
              <w:t>• DNS</w:t>
            </w:r>
          </w:p>
        </w:tc>
        <w:tc>
          <w:tcPr>
            <w:tcW w:w="2700" w:type="dxa"/>
          </w:tcPr>
          <w:p w14:paraId="5B7C1A7A" w14:textId="77777777" w:rsidR="00FC4E83" w:rsidRDefault="00000000">
            <w:pPr>
              <w:spacing w:after="40"/>
            </w:pPr>
            <w:r>
              <w:t>• DHCP</w:t>
            </w:r>
          </w:p>
        </w:tc>
        <w:tc>
          <w:tcPr>
            <w:tcW w:w="2700" w:type="dxa"/>
          </w:tcPr>
          <w:p w14:paraId="431097D5" w14:textId="77777777" w:rsidR="00FC4E83" w:rsidRDefault="00000000">
            <w:pPr>
              <w:spacing w:after="40"/>
            </w:pPr>
            <w:r>
              <w:t>• IIS</w:t>
            </w:r>
          </w:p>
        </w:tc>
        <w:tc>
          <w:tcPr>
            <w:tcW w:w="2700" w:type="dxa"/>
          </w:tcPr>
          <w:p w14:paraId="6E9D943A" w14:textId="77777777" w:rsidR="00FC4E83" w:rsidRDefault="00000000">
            <w:pPr>
              <w:spacing w:after="40"/>
            </w:pPr>
            <w:r>
              <w:t>• MS Intune</w:t>
            </w:r>
          </w:p>
        </w:tc>
      </w:tr>
      <w:tr w:rsidR="00FC4E83" w14:paraId="08C6C3BE" w14:textId="77777777">
        <w:tblPrEx>
          <w:tblCellMar>
            <w:top w:w="0" w:type="dxa"/>
            <w:bottom w:w="0" w:type="dxa"/>
          </w:tblCellMar>
        </w:tblPrEx>
        <w:tc>
          <w:tcPr>
            <w:tcW w:w="2700" w:type="dxa"/>
          </w:tcPr>
          <w:p w14:paraId="44A6827D" w14:textId="77777777" w:rsidR="00FC4E83" w:rsidRDefault="00000000">
            <w:pPr>
              <w:spacing w:after="40"/>
            </w:pPr>
            <w:r>
              <w:t>• SCCM</w:t>
            </w:r>
          </w:p>
        </w:tc>
        <w:tc>
          <w:tcPr>
            <w:tcW w:w="2700" w:type="dxa"/>
          </w:tcPr>
          <w:p w14:paraId="42E8BBFE" w14:textId="77777777" w:rsidR="00FC4E83" w:rsidRDefault="00000000">
            <w:pPr>
              <w:spacing w:after="40"/>
            </w:pPr>
            <w:r>
              <w:t>• SQL Server (Always On Availability Groups)</w:t>
            </w:r>
          </w:p>
        </w:tc>
        <w:tc>
          <w:tcPr>
            <w:tcW w:w="2700" w:type="dxa"/>
          </w:tcPr>
          <w:p w14:paraId="7580DD28" w14:textId="77777777" w:rsidR="00FC4E83" w:rsidRDefault="00000000">
            <w:pPr>
              <w:spacing w:after="40"/>
            </w:pPr>
            <w:r>
              <w:t>• Veeam Backup &amp; Replication</w:t>
            </w:r>
          </w:p>
        </w:tc>
        <w:tc>
          <w:tcPr>
            <w:tcW w:w="2700" w:type="dxa"/>
          </w:tcPr>
          <w:p w14:paraId="6BB13839" w14:textId="77777777" w:rsidR="00FC4E83" w:rsidRDefault="00000000">
            <w:pPr>
              <w:spacing w:after="40"/>
            </w:pPr>
            <w:r>
              <w:t>• Veeam ONE</w:t>
            </w:r>
          </w:p>
        </w:tc>
      </w:tr>
      <w:tr w:rsidR="00FC4E83" w14:paraId="4FF14100" w14:textId="77777777">
        <w:tblPrEx>
          <w:tblCellMar>
            <w:top w:w="0" w:type="dxa"/>
            <w:bottom w:w="0" w:type="dxa"/>
          </w:tblCellMar>
        </w:tblPrEx>
        <w:tc>
          <w:tcPr>
            <w:tcW w:w="2700" w:type="dxa"/>
          </w:tcPr>
          <w:p w14:paraId="4C500C31" w14:textId="77777777" w:rsidR="00FC4E83" w:rsidRDefault="00000000">
            <w:pPr>
              <w:spacing w:after="40"/>
            </w:pPr>
            <w:r>
              <w:t>• Veeam for MS 365</w:t>
            </w:r>
          </w:p>
        </w:tc>
        <w:tc>
          <w:tcPr>
            <w:tcW w:w="2700" w:type="dxa"/>
          </w:tcPr>
          <w:p w14:paraId="35F0882C" w14:textId="77777777" w:rsidR="00FC4E83" w:rsidRDefault="00000000">
            <w:pPr>
              <w:spacing w:after="40"/>
            </w:pPr>
            <w:r>
              <w:t>• Azure Backup</w:t>
            </w:r>
          </w:p>
        </w:tc>
        <w:tc>
          <w:tcPr>
            <w:tcW w:w="2700" w:type="dxa"/>
          </w:tcPr>
          <w:p w14:paraId="67A4C7B0" w14:textId="77777777" w:rsidR="00FC4E83" w:rsidRDefault="00000000">
            <w:pPr>
              <w:spacing w:after="40"/>
            </w:pPr>
            <w:r>
              <w:t>• VMware SRM</w:t>
            </w:r>
          </w:p>
        </w:tc>
        <w:tc>
          <w:tcPr>
            <w:tcW w:w="2700" w:type="dxa"/>
          </w:tcPr>
          <w:p w14:paraId="378DA49F" w14:textId="77777777" w:rsidR="00FC4E83" w:rsidRDefault="00000000">
            <w:pPr>
              <w:spacing w:after="40"/>
            </w:pPr>
            <w:r>
              <w:t>• Cloud Object Storage</w:t>
            </w:r>
          </w:p>
        </w:tc>
      </w:tr>
      <w:tr w:rsidR="00FC4E83" w14:paraId="67A31B36" w14:textId="77777777">
        <w:tblPrEx>
          <w:tblCellMar>
            <w:top w:w="0" w:type="dxa"/>
            <w:bottom w:w="0" w:type="dxa"/>
          </w:tblCellMar>
        </w:tblPrEx>
        <w:tc>
          <w:tcPr>
            <w:tcW w:w="2700" w:type="dxa"/>
          </w:tcPr>
          <w:p w14:paraId="755783A6" w14:textId="77777777" w:rsidR="00FC4E83" w:rsidRDefault="00000000">
            <w:pPr>
              <w:spacing w:after="40"/>
            </w:pPr>
            <w:r>
              <w:t>• DR planning</w:t>
            </w:r>
          </w:p>
        </w:tc>
        <w:tc>
          <w:tcPr>
            <w:tcW w:w="2700" w:type="dxa"/>
          </w:tcPr>
          <w:p w14:paraId="396271AA" w14:textId="77777777" w:rsidR="00FC4E83" w:rsidRDefault="00000000">
            <w:pPr>
              <w:spacing w:after="40"/>
            </w:pPr>
            <w:r>
              <w:t>• FortiGate Firewalls (Manager/Analyzer/EMS)</w:t>
            </w:r>
          </w:p>
        </w:tc>
        <w:tc>
          <w:tcPr>
            <w:tcW w:w="2700" w:type="dxa"/>
          </w:tcPr>
          <w:p w14:paraId="10AF5210" w14:textId="77777777" w:rsidR="00FC4E83" w:rsidRDefault="00000000">
            <w:pPr>
              <w:spacing w:after="40"/>
            </w:pPr>
            <w:r>
              <w:t>• VPNs</w:t>
            </w:r>
          </w:p>
        </w:tc>
        <w:tc>
          <w:tcPr>
            <w:tcW w:w="2700" w:type="dxa"/>
          </w:tcPr>
          <w:p w14:paraId="30EBF858" w14:textId="77777777" w:rsidR="00FC4E83" w:rsidRDefault="00000000">
            <w:pPr>
              <w:spacing w:after="40"/>
            </w:pPr>
            <w:r>
              <w:t>• VLAN design</w:t>
            </w:r>
          </w:p>
        </w:tc>
      </w:tr>
      <w:tr w:rsidR="00FC4E83" w14:paraId="3107BB3B" w14:textId="77777777">
        <w:tblPrEx>
          <w:tblCellMar>
            <w:top w:w="0" w:type="dxa"/>
            <w:bottom w:w="0" w:type="dxa"/>
          </w:tblCellMar>
        </w:tblPrEx>
        <w:tc>
          <w:tcPr>
            <w:tcW w:w="2700" w:type="dxa"/>
          </w:tcPr>
          <w:p w14:paraId="7757DF40" w14:textId="77777777" w:rsidR="00FC4E83" w:rsidRDefault="00000000">
            <w:pPr>
              <w:spacing w:after="40"/>
            </w:pPr>
            <w:r>
              <w:t>• Meraki</w:t>
            </w:r>
          </w:p>
        </w:tc>
        <w:tc>
          <w:tcPr>
            <w:tcW w:w="2700" w:type="dxa"/>
          </w:tcPr>
          <w:p w14:paraId="011C8507" w14:textId="77777777" w:rsidR="00FC4E83" w:rsidRDefault="00000000">
            <w:pPr>
              <w:spacing w:after="40"/>
            </w:pPr>
            <w:r>
              <w:t>• Ruckus</w:t>
            </w:r>
          </w:p>
        </w:tc>
        <w:tc>
          <w:tcPr>
            <w:tcW w:w="2700" w:type="dxa"/>
          </w:tcPr>
          <w:p w14:paraId="3E280AE0" w14:textId="77777777" w:rsidR="00FC4E83" w:rsidRDefault="00000000">
            <w:pPr>
              <w:spacing w:after="40"/>
            </w:pPr>
            <w:r>
              <w:t>• Brocade</w:t>
            </w:r>
          </w:p>
        </w:tc>
        <w:tc>
          <w:tcPr>
            <w:tcW w:w="2700" w:type="dxa"/>
          </w:tcPr>
          <w:p w14:paraId="21360919" w14:textId="77777777" w:rsidR="00FC4E83" w:rsidRDefault="00000000">
            <w:pPr>
              <w:spacing w:after="40"/>
            </w:pPr>
            <w:r>
              <w:t>• Aerohive Wireless</w:t>
            </w:r>
          </w:p>
        </w:tc>
      </w:tr>
      <w:tr w:rsidR="00FC4E83" w14:paraId="5A12B6CE" w14:textId="77777777">
        <w:tblPrEx>
          <w:tblCellMar>
            <w:top w:w="0" w:type="dxa"/>
            <w:bottom w:w="0" w:type="dxa"/>
          </w:tblCellMar>
        </w:tblPrEx>
        <w:tc>
          <w:tcPr>
            <w:tcW w:w="2700" w:type="dxa"/>
          </w:tcPr>
          <w:p w14:paraId="10A6944A" w14:textId="77777777" w:rsidR="00FC4E83" w:rsidRDefault="00000000">
            <w:pPr>
              <w:spacing w:after="40"/>
            </w:pPr>
            <w:r>
              <w:t>• ServiceNow</w:t>
            </w:r>
          </w:p>
        </w:tc>
        <w:tc>
          <w:tcPr>
            <w:tcW w:w="2700" w:type="dxa"/>
          </w:tcPr>
          <w:p w14:paraId="619383CB" w14:textId="77777777" w:rsidR="00FC4E83" w:rsidRDefault="00000000">
            <w:pPr>
              <w:spacing w:after="40"/>
            </w:pPr>
            <w:r>
              <w:t xml:space="preserve">• </w:t>
            </w:r>
            <w:proofErr w:type="spellStart"/>
            <w:r>
              <w:t>LogicMonitor</w:t>
            </w:r>
            <w:proofErr w:type="spellEnd"/>
          </w:p>
        </w:tc>
        <w:tc>
          <w:tcPr>
            <w:tcW w:w="2700" w:type="dxa"/>
          </w:tcPr>
          <w:p w14:paraId="7333E353" w14:textId="77777777" w:rsidR="00FC4E83" w:rsidRDefault="00000000">
            <w:pPr>
              <w:spacing w:after="40"/>
            </w:pPr>
            <w:r>
              <w:t xml:space="preserve">• </w:t>
            </w:r>
            <w:proofErr w:type="spellStart"/>
            <w:r>
              <w:t>xMatters</w:t>
            </w:r>
            <w:proofErr w:type="spellEnd"/>
          </w:p>
        </w:tc>
        <w:tc>
          <w:tcPr>
            <w:tcW w:w="2700" w:type="dxa"/>
          </w:tcPr>
          <w:p w14:paraId="28A4EC87" w14:textId="77777777" w:rsidR="00FC4E83" w:rsidRDefault="00000000">
            <w:pPr>
              <w:spacing w:after="40"/>
            </w:pPr>
            <w:r>
              <w:t>• Linux</w:t>
            </w:r>
          </w:p>
        </w:tc>
      </w:tr>
    </w:tbl>
    <w:p w14:paraId="1AFBECC8" w14:textId="77777777" w:rsidR="00FC4E83" w:rsidRDefault="00FC4E83">
      <w:pPr>
        <w:pStyle w:val="AfterSectionPadding"/>
      </w:pPr>
    </w:p>
    <w:tbl>
      <w:tblPr>
        <w:tblW w:w="10800" w:type="auto"/>
        <w:tblBorders>
          <w:top w:val="single" w:sz="1" w:space="0" w:color="2163CA"/>
          <w:bottom w:val="single" w:sz="1" w:space="0" w:color="2163CA"/>
        </w:tblBorders>
        <w:tblLayout w:type="fixed"/>
        <w:tblCellMar>
          <w:left w:w="10" w:type="dxa"/>
          <w:right w:w="10" w:type="dxa"/>
        </w:tblCellMar>
        <w:tblLook w:val="04A0" w:firstRow="1" w:lastRow="0" w:firstColumn="1" w:lastColumn="0" w:noHBand="0" w:noVBand="1"/>
      </w:tblPr>
      <w:tblGrid>
        <w:gridCol w:w="10800"/>
      </w:tblGrid>
      <w:tr w:rsidR="00FC4E83" w14:paraId="1244D974" w14:textId="77777777">
        <w:tblPrEx>
          <w:tblCellMar>
            <w:top w:w="0" w:type="dxa"/>
            <w:bottom w:w="0" w:type="dxa"/>
          </w:tblCellMar>
        </w:tblPrEx>
        <w:tc>
          <w:tcPr>
            <w:tcW w:w="10800" w:type="dxa"/>
            <w:tcMar>
              <w:left w:w="0" w:type="dxa"/>
            </w:tcMar>
          </w:tcPr>
          <w:p w14:paraId="4DB7765E" w14:textId="77777777" w:rsidR="00FC4E83" w:rsidRDefault="00000000">
            <w:pPr>
              <w:pStyle w:val="Heading3"/>
            </w:pPr>
            <w:r>
              <w:t>PROFESSIONAL EXPERIENCE</w:t>
            </w:r>
          </w:p>
        </w:tc>
      </w:tr>
    </w:tbl>
    <w:p w14:paraId="765700CB" w14:textId="77777777" w:rsidR="00FC4E83" w:rsidRDefault="00FC4E83">
      <w:pPr>
        <w:pStyle w:val="AfterSectionNamePadding"/>
      </w:pPr>
    </w:p>
    <w:p w14:paraId="02C65ACB" w14:textId="77777777" w:rsidR="00FC4E83" w:rsidRDefault="00000000">
      <w:pPr>
        <w:pStyle w:val="Heading4"/>
        <w:tabs>
          <w:tab w:val="right" w:pos="10800"/>
        </w:tabs>
        <w:spacing w:after="40"/>
      </w:pPr>
      <w:r>
        <w:t xml:space="preserve">Senior Systems Engineer, Clean Harbors </w:t>
      </w:r>
      <w:r>
        <w:tab/>
        <w:t xml:space="preserve"> Jul 2022 to Present</w:t>
      </w:r>
    </w:p>
    <w:p w14:paraId="0E95D8B8" w14:textId="77777777" w:rsidR="00FC4E83" w:rsidRDefault="00000000">
      <w:r>
        <w:t>Boston</w:t>
      </w:r>
    </w:p>
    <w:p w14:paraId="25A7BC73" w14:textId="77777777" w:rsidR="00FC4E83" w:rsidRDefault="00FC4E83">
      <w:pPr>
        <w:spacing w:after="20"/>
        <w:rPr>
          <w:sz w:val="2"/>
          <w:szCs w:val="2"/>
        </w:rPr>
      </w:pPr>
    </w:p>
    <w:p w14:paraId="2EF55BB3" w14:textId="77777777" w:rsidR="00FC4E83" w:rsidRDefault="00000000">
      <w:pPr>
        <w:spacing w:after="40"/>
      </w:pPr>
      <w:r>
        <w:t xml:space="preserve">Work as part of the core Infrastructure Engineering team with primary ownership over our Azure-hosted Citrix Cloud environments, enterprise virtualization, and global backup strategies. </w:t>
      </w:r>
    </w:p>
    <w:p w14:paraId="15CBA64A" w14:textId="77777777" w:rsidR="00FC4E83" w:rsidRDefault="00000000">
      <w:pPr>
        <w:numPr>
          <w:ilvl w:val="0"/>
          <w:numId w:val="2"/>
        </w:numPr>
      </w:pPr>
      <w:r>
        <w:t xml:space="preserve">Run our Citrix DaaS infrastructure on Azure, handling everything from core Azure networking and image management to daily performance tuning and escalation support. </w:t>
      </w:r>
    </w:p>
    <w:p w14:paraId="40B72A91" w14:textId="77777777" w:rsidR="00FC4E83" w:rsidRDefault="00000000">
      <w:pPr>
        <w:numPr>
          <w:ilvl w:val="0"/>
          <w:numId w:val="3"/>
        </w:numPr>
      </w:pPr>
      <w:r>
        <w:t xml:space="preserve">Wrote custom PowerShell scripts and built reusable Terraform/Bicep modules to automate our entire master image lifecycle, patching cycles, and environment rollouts. </w:t>
      </w:r>
    </w:p>
    <w:p w14:paraId="4DE8D3AB" w14:textId="77777777" w:rsidR="00FC4E83" w:rsidRDefault="00000000">
      <w:pPr>
        <w:numPr>
          <w:ilvl w:val="0"/>
          <w:numId w:val="4"/>
        </w:numPr>
      </w:pPr>
      <w:r>
        <w:t xml:space="preserve">Managed a major migration of our enterprise Citrix workloads from Windows 10 to Windows 11, which included reworking our supporting Azure infrastructure, network routing, and Group Policies. </w:t>
      </w:r>
    </w:p>
    <w:p w14:paraId="780D1C89" w14:textId="77777777" w:rsidR="00FC4E83" w:rsidRDefault="00000000">
      <w:pPr>
        <w:numPr>
          <w:ilvl w:val="0"/>
          <w:numId w:val="5"/>
        </w:numPr>
      </w:pPr>
      <w:r>
        <w:t xml:space="preserve">Speed up our </w:t>
      </w:r>
      <w:proofErr w:type="spellStart"/>
      <w:r>
        <w:t>IaC</w:t>
      </w:r>
      <w:proofErr w:type="spellEnd"/>
      <w:r>
        <w:t xml:space="preserve"> development and standardize module deployment by integrating AI-assisted tools like GitHub Copilot and Cursor into our daily engineering workflow. </w:t>
      </w:r>
    </w:p>
    <w:p w14:paraId="2A0CB6AC" w14:textId="77777777" w:rsidR="00FC4E83" w:rsidRDefault="00000000">
      <w:pPr>
        <w:numPr>
          <w:ilvl w:val="0"/>
          <w:numId w:val="6"/>
        </w:numPr>
      </w:pPr>
      <w:r>
        <w:t xml:space="preserve">Built automated testing and validation pipelines to catch infrastructure configuration issues before they hit production environments. </w:t>
      </w:r>
    </w:p>
    <w:p w14:paraId="44C8A48C" w14:textId="77777777" w:rsidR="00FC4E83" w:rsidRDefault="00000000">
      <w:pPr>
        <w:numPr>
          <w:ilvl w:val="0"/>
          <w:numId w:val="7"/>
        </w:numPr>
      </w:pPr>
      <w:r>
        <w:t xml:space="preserve">Structured our end-to-end deployment workflows so changes flow smoothly through dev, testing, and approval gates before final release. </w:t>
      </w:r>
    </w:p>
    <w:p w14:paraId="605D7450" w14:textId="77777777" w:rsidR="00FC4E83" w:rsidRDefault="00000000">
      <w:pPr>
        <w:numPr>
          <w:ilvl w:val="0"/>
          <w:numId w:val="8"/>
        </w:numPr>
      </w:pPr>
      <w:r>
        <w:t xml:space="preserve">Set up automated documentation scripts to generate up-to-date deployment runbooks, asset reports, and architecture diagrams directly from the environment. </w:t>
      </w:r>
    </w:p>
    <w:p w14:paraId="7C43F8A6" w14:textId="77777777" w:rsidR="00FC4E83" w:rsidRDefault="00000000">
      <w:pPr>
        <w:numPr>
          <w:ilvl w:val="0"/>
          <w:numId w:val="9"/>
        </w:numPr>
      </w:pPr>
      <w:r>
        <w:t xml:space="preserve">Handled a full modernization of our Veeam Backup &amp; Replication environment, moving to a highly available architecture backed by SQL Always On to meet strict corporate compliance and DR timelines. </w:t>
      </w:r>
    </w:p>
    <w:p w14:paraId="56A70578" w14:textId="77777777" w:rsidR="00FC4E83" w:rsidRDefault="00000000">
      <w:pPr>
        <w:numPr>
          <w:ilvl w:val="0"/>
          <w:numId w:val="10"/>
        </w:numPr>
      </w:pPr>
      <w:r>
        <w:t xml:space="preserve">Overhauled our Veeam Backup for Microsoft 365 setup, migrating repositories to Wasabi cloud object storage, validating secure Exchange/Teams/SharePoint protection, and solving indexing issues with Veeam support. </w:t>
      </w:r>
    </w:p>
    <w:p w14:paraId="6089AE86" w14:textId="77777777" w:rsidR="00FC4E83" w:rsidRDefault="00000000">
      <w:pPr>
        <w:numPr>
          <w:ilvl w:val="0"/>
          <w:numId w:val="11"/>
        </w:numPr>
      </w:pPr>
      <w:r>
        <w:lastRenderedPageBreak/>
        <w:t xml:space="preserve">Keep our day-to-day Windows Server (up to 2025) and VMware vSphere environments stable, while managing monitoring and automated alerting via ServiceNow, </w:t>
      </w:r>
      <w:proofErr w:type="spellStart"/>
      <w:r>
        <w:t>LogicMonitor</w:t>
      </w:r>
      <w:proofErr w:type="spellEnd"/>
      <w:r>
        <w:t xml:space="preserve">, and </w:t>
      </w:r>
      <w:proofErr w:type="spellStart"/>
      <w:r>
        <w:t>xMatters</w:t>
      </w:r>
      <w:proofErr w:type="spellEnd"/>
      <w:r>
        <w:t xml:space="preserve">. </w:t>
      </w:r>
    </w:p>
    <w:p w14:paraId="1CF93408" w14:textId="77777777" w:rsidR="00FC4E83" w:rsidRDefault="00FC4E83">
      <w:pPr>
        <w:pStyle w:val="AfterCardPadding"/>
      </w:pPr>
    </w:p>
    <w:p w14:paraId="1F4DD938" w14:textId="77777777" w:rsidR="00FC4E83" w:rsidRDefault="00000000">
      <w:pPr>
        <w:pStyle w:val="Heading4"/>
        <w:tabs>
          <w:tab w:val="right" w:pos="10800"/>
        </w:tabs>
        <w:spacing w:after="40"/>
      </w:pPr>
      <w:r>
        <w:t xml:space="preserve">Senior Network Engineer, Empire Merchants North </w:t>
      </w:r>
      <w:r>
        <w:tab/>
        <w:t xml:space="preserve"> Sep 2009 to Jan 2022</w:t>
      </w:r>
    </w:p>
    <w:p w14:paraId="089309AC" w14:textId="77777777" w:rsidR="00FC4E83" w:rsidRDefault="00000000">
      <w:r>
        <w:t>Coxsackie</w:t>
      </w:r>
    </w:p>
    <w:p w14:paraId="0BE6B42D" w14:textId="77777777" w:rsidR="00FC4E83" w:rsidRDefault="00FC4E83">
      <w:pPr>
        <w:spacing w:after="20"/>
        <w:rPr>
          <w:sz w:val="2"/>
          <w:szCs w:val="2"/>
        </w:rPr>
      </w:pPr>
    </w:p>
    <w:p w14:paraId="2C9AC7AA" w14:textId="77777777" w:rsidR="00FC4E83" w:rsidRDefault="00000000">
      <w:pPr>
        <w:spacing w:after="40"/>
      </w:pPr>
      <w:r>
        <w:t xml:space="preserve">Managed multi-site IT infrastructure, taking ownership of production servers, storage systems, virtualization platforms, network security, and backup environments. </w:t>
      </w:r>
    </w:p>
    <w:p w14:paraId="48EA89C4" w14:textId="77777777" w:rsidR="00FC4E83" w:rsidRDefault="00000000">
      <w:pPr>
        <w:numPr>
          <w:ilvl w:val="0"/>
          <w:numId w:val="12"/>
        </w:numPr>
      </w:pPr>
      <w:r>
        <w:t xml:space="preserve">Handled core systems administration across the company, including Active </w:t>
      </w:r>
    </w:p>
    <w:p w14:paraId="68B40934" w14:textId="77777777" w:rsidR="00FC4E83" w:rsidRDefault="00000000">
      <w:pPr>
        <w:spacing w:after="40"/>
      </w:pPr>
      <w:r>
        <w:t xml:space="preserve">Directory, DNS, DHCP, file shares, and Group Policies. </w:t>
      </w:r>
    </w:p>
    <w:p w14:paraId="5DD20A66" w14:textId="77777777" w:rsidR="00FC4E83" w:rsidRDefault="00000000">
      <w:pPr>
        <w:numPr>
          <w:ilvl w:val="0"/>
          <w:numId w:val="13"/>
        </w:numPr>
      </w:pPr>
      <w:r>
        <w:t xml:space="preserve">Set up and managed our VMware vSphere clusters on Dell EMC storage, </w:t>
      </w:r>
    </w:p>
    <w:p w14:paraId="5DE5C438" w14:textId="77777777" w:rsidR="00FC4E83" w:rsidRDefault="00000000">
      <w:pPr>
        <w:spacing w:after="40"/>
      </w:pPr>
      <w:r>
        <w:t xml:space="preserve">and implemented VMware Site Recovery Manager (SRM) to secure our disaster recovery locations. </w:t>
      </w:r>
    </w:p>
    <w:p w14:paraId="52A57807" w14:textId="77777777" w:rsidR="00FC4E83" w:rsidRDefault="00000000">
      <w:pPr>
        <w:numPr>
          <w:ilvl w:val="0"/>
          <w:numId w:val="14"/>
        </w:numPr>
      </w:pPr>
      <w:r>
        <w:t xml:space="preserve">Successfully upgraded legacy Windows Server versions across the </w:t>
      </w:r>
    </w:p>
    <w:p w14:paraId="30FA7CA9" w14:textId="77777777" w:rsidR="00FC4E83" w:rsidRDefault="00000000">
      <w:pPr>
        <w:spacing w:after="40"/>
      </w:pPr>
      <w:r>
        <w:t xml:space="preserve">environment to modernize the platforms holding our critical business applications. </w:t>
      </w:r>
    </w:p>
    <w:p w14:paraId="148D2A40" w14:textId="77777777" w:rsidR="00FC4E83" w:rsidRDefault="00000000">
      <w:pPr>
        <w:numPr>
          <w:ilvl w:val="0"/>
          <w:numId w:val="15"/>
        </w:numPr>
      </w:pPr>
      <w:r>
        <w:t xml:space="preserve">Ran daily Veeam Backup &amp; Replication tasks, built out our DR plans, and </w:t>
      </w:r>
    </w:p>
    <w:p w14:paraId="069A9E56" w14:textId="77777777" w:rsidR="00FC4E83" w:rsidRDefault="00000000">
      <w:pPr>
        <w:spacing w:after="40"/>
      </w:pPr>
      <w:r>
        <w:t xml:space="preserve">ran regular recovery drills to ensure data integrity. </w:t>
      </w:r>
    </w:p>
    <w:p w14:paraId="74B90ED9" w14:textId="77777777" w:rsidR="00FC4E83" w:rsidRDefault="00000000">
      <w:pPr>
        <w:numPr>
          <w:ilvl w:val="0"/>
          <w:numId w:val="16"/>
        </w:numPr>
      </w:pPr>
      <w:r>
        <w:t xml:space="preserve">Installed, configured, and maintained FortiGate firewalls, secure site-to-site </w:t>
      </w:r>
    </w:p>
    <w:p w14:paraId="7A7B9137" w14:textId="77777777" w:rsidR="00FC4E83" w:rsidRDefault="00000000">
      <w:pPr>
        <w:spacing w:after="40"/>
      </w:pPr>
      <w:r>
        <w:t xml:space="preserve">VPNs, and remote access across all business locations. </w:t>
      </w:r>
    </w:p>
    <w:p w14:paraId="717EEAE1" w14:textId="77777777" w:rsidR="00FC4E83" w:rsidRDefault="00000000">
      <w:pPr>
        <w:numPr>
          <w:ilvl w:val="0"/>
          <w:numId w:val="17"/>
        </w:numPr>
      </w:pPr>
      <w:r>
        <w:t xml:space="preserve">Deployed and managed company-wide wireless networks using Meraki </w:t>
      </w:r>
    </w:p>
    <w:p w14:paraId="2D05BC57" w14:textId="77777777" w:rsidR="00FC4E83" w:rsidRDefault="00000000">
      <w:pPr>
        <w:spacing w:after="40"/>
      </w:pPr>
      <w:r>
        <w:t xml:space="preserve">and Aerohive access points. </w:t>
      </w:r>
    </w:p>
    <w:p w14:paraId="50172029" w14:textId="77777777" w:rsidR="00FC4E83" w:rsidRDefault="00000000">
      <w:pPr>
        <w:numPr>
          <w:ilvl w:val="0"/>
          <w:numId w:val="18"/>
        </w:numPr>
      </w:pPr>
      <w:r>
        <w:t xml:space="preserve">Created custom PowerShell toolsets to automate regular administrative </w:t>
      </w:r>
    </w:p>
    <w:p w14:paraId="22399478" w14:textId="77777777" w:rsidR="00FC4E83" w:rsidRDefault="00000000">
      <w:pPr>
        <w:spacing w:after="40"/>
      </w:pPr>
      <w:r>
        <w:t xml:space="preserve">tasks and speed up server provisioning. </w:t>
      </w:r>
    </w:p>
    <w:p w14:paraId="160195B0" w14:textId="77777777" w:rsidR="00FC4E83" w:rsidRDefault="00000000">
      <w:pPr>
        <w:numPr>
          <w:ilvl w:val="0"/>
          <w:numId w:val="19"/>
        </w:numPr>
      </w:pPr>
      <w:r>
        <w:t xml:space="preserve">Supported our migration to Office 365, managed mobile devices via MDM, </w:t>
      </w:r>
    </w:p>
    <w:p w14:paraId="55D84F76" w14:textId="77777777" w:rsidR="00FC4E83" w:rsidRDefault="00000000">
      <w:r>
        <w:t xml:space="preserve">and helped deliver infrastructure for large warehouse automation and facility expansions. </w:t>
      </w:r>
    </w:p>
    <w:p w14:paraId="666D497E" w14:textId="77777777" w:rsidR="00FC4E83" w:rsidRDefault="00FC4E83">
      <w:pPr>
        <w:pStyle w:val="AfterCardPadding"/>
      </w:pPr>
    </w:p>
    <w:p w14:paraId="09A948A2" w14:textId="3E52587B" w:rsidR="00FC4E83" w:rsidRDefault="00000000">
      <w:pPr>
        <w:pStyle w:val="Heading4"/>
        <w:tabs>
          <w:tab w:val="right" w:pos="10800"/>
        </w:tabs>
        <w:spacing w:after="40"/>
      </w:pPr>
      <w:r>
        <w:t xml:space="preserve">Senior Network Engineer, United States Army Corps of Engineers </w:t>
      </w:r>
      <w:r>
        <w:tab/>
        <w:t xml:space="preserve"> Sep 2003 to May 200</w:t>
      </w:r>
      <w:r w:rsidR="00C22B62">
        <w:t>9</w:t>
      </w:r>
    </w:p>
    <w:p w14:paraId="3E542ADF" w14:textId="77777777" w:rsidR="00FC4E83" w:rsidRDefault="00000000">
      <w:r>
        <w:t>Basrah</w:t>
      </w:r>
    </w:p>
    <w:p w14:paraId="3DFD7372" w14:textId="77777777" w:rsidR="00FC4E83" w:rsidRDefault="00FC4E83">
      <w:pPr>
        <w:spacing w:after="20"/>
        <w:rPr>
          <w:sz w:val="2"/>
          <w:szCs w:val="2"/>
        </w:rPr>
      </w:pPr>
    </w:p>
    <w:p w14:paraId="3F42AC5D" w14:textId="77777777" w:rsidR="00FC4E83" w:rsidRDefault="00000000">
      <w:pPr>
        <w:spacing w:after="40"/>
      </w:pPr>
      <w:r>
        <w:t xml:space="preserve">Provided critical network engineering and communications support in a high- tempo, deployed military environment for USACE operations in Iraq. </w:t>
      </w:r>
    </w:p>
    <w:p w14:paraId="7BDB3E5A" w14:textId="77777777" w:rsidR="00FC4E83" w:rsidRDefault="00000000">
      <w:pPr>
        <w:numPr>
          <w:ilvl w:val="0"/>
          <w:numId w:val="20"/>
        </w:numPr>
      </w:pPr>
      <w:r>
        <w:t xml:space="preserve">Kept secure and non-secure communications infrastructure running </w:t>
      </w:r>
    </w:p>
    <w:p w14:paraId="24F40958" w14:textId="77777777" w:rsidR="00FC4E83" w:rsidRDefault="00000000">
      <w:pPr>
        <w:spacing w:after="40"/>
      </w:pPr>
      <w:r>
        <w:t xml:space="preserve">reliably across multiple sites to support mission-critical tactical operations. </w:t>
      </w:r>
    </w:p>
    <w:p w14:paraId="4117382E" w14:textId="77777777" w:rsidR="00FC4E83" w:rsidRDefault="00000000">
      <w:pPr>
        <w:numPr>
          <w:ilvl w:val="0"/>
          <w:numId w:val="21"/>
        </w:numPr>
      </w:pPr>
      <w:r>
        <w:t xml:space="preserve">Managed the on-the-ground deployment of IT infrastructure, coordinating </w:t>
      </w:r>
    </w:p>
    <w:p w14:paraId="32D313EE" w14:textId="77777777" w:rsidR="00FC4E83" w:rsidRDefault="00000000">
      <w:pPr>
        <w:spacing w:after="40"/>
      </w:pPr>
      <w:r>
        <w:t xml:space="preserve">server and network setups across active project sites. </w:t>
      </w:r>
    </w:p>
    <w:p w14:paraId="66B0556B" w14:textId="77777777" w:rsidR="00FC4E83" w:rsidRDefault="00000000">
      <w:pPr>
        <w:numPr>
          <w:ilvl w:val="0"/>
          <w:numId w:val="22"/>
        </w:numPr>
      </w:pPr>
      <w:r>
        <w:t xml:space="preserve">Looked after core enterprise systems including Windows Server, Active </w:t>
      </w:r>
    </w:p>
    <w:p w14:paraId="15C9E069" w14:textId="77777777" w:rsidR="00FC4E83" w:rsidRDefault="00000000">
      <w:pPr>
        <w:spacing w:after="40"/>
      </w:pPr>
      <w:r>
        <w:t xml:space="preserve">Directory, Exchange email servers, storage arrays, and early virtualization platforms. </w:t>
      </w:r>
    </w:p>
    <w:p w14:paraId="7CB2DD41" w14:textId="77777777" w:rsidR="00FC4E83" w:rsidRDefault="00000000">
      <w:pPr>
        <w:numPr>
          <w:ilvl w:val="0"/>
          <w:numId w:val="23"/>
        </w:numPr>
      </w:pPr>
      <w:r>
        <w:t xml:space="preserve">Maintained steady LAN, WAN, and VPN connectivity alongside server and </w:t>
      </w:r>
    </w:p>
    <w:p w14:paraId="74DF00E5" w14:textId="77777777" w:rsidR="00FC4E83" w:rsidRDefault="00000000">
      <w:pPr>
        <w:spacing w:after="40"/>
      </w:pPr>
      <w:r>
        <w:t xml:space="preserve">desktop environments under challenging conditions. </w:t>
      </w:r>
    </w:p>
    <w:p w14:paraId="2A323BD1" w14:textId="77777777" w:rsidR="00FC4E83" w:rsidRDefault="00000000">
      <w:pPr>
        <w:numPr>
          <w:ilvl w:val="0"/>
          <w:numId w:val="24"/>
        </w:numPr>
      </w:pPr>
      <w:r>
        <w:t xml:space="preserve">Provided technical direction and engineering support to ensure </w:t>
      </w:r>
    </w:p>
    <w:p w14:paraId="642D86AF" w14:textId="77777777" w:rsidR="00FC4E83" w:rsidRDefault="00000000">
      <w:r>
        <w:t xml:space="preserve">operational continuity for both military and corporate teams. </w:t>
      </w:r>
    </w:p>
    <w:p w14:paraId="4194C589" w14:textId="77777777" w:rsidR="00FC4E83" w:rsidRDefault="00FC4E83">
      <w:pPr>
        <w:pStyle w:val="AfterSectionPadding"/>
      </w:pPr>
    </w:p>
    <w:tbl>
      <w:tblPr>
        <w:tblW w:w="10800" w:type="auto"/>
        <w:tblBorders>
          <w:top w:val="single" w:sz="1" w:space="0" w:color="2163CA"/>
          <w:bottom w:val="single" w:sz="1" w:space="0" w:color="2163CA"/>
        </w:tblBorders>
        <w:tblLayout w:type="fixed"/>
        <w:tblCellMar>
          <w:left w:w="10" w:type="dxa"/>
          <w:right w:w="10" w:type="dxa"/>
        </w:tblCellMar>
        <w:tblLook w:val="04A0" w:firstRow="1" w:lastRow="0" w:firstColumn="1" w:lastColumn="0" w:noHBand="0" w:noVBand="1"/>
      </w:tblPr>
      <w:tblGrid>
        <w:gridCol w:w="10800"/>
      </w:tblGrid>
      <w:tr w:rsidR="00FC4E83" w14:paraId="37A26B16" w14:textId="77777777">
        <w:tblPrEx>
          <w:tblCellMar>
            <w:top w:w="0" w:type="dxa"/>
            <w:bottom w:w="0" w:type="dxa"/>
          </w:tblCellMar>
        </w:tblPrEx>
        <w:tc>
          <w:tcPr>
            <w:tcW w:w="10800" w:type="dxa"/>
            <w:tcMar>
              <w:left w:w="0" w:type="dxa"/>
            </w:tcMar>
          </w:tcPr>
          <w:p w14:paraId="036AEA12" w14:textId="77777777" w:rsidR="00FC4E83" w:rsidRDefault="00000000">
            <w:pPr>
              <w:pStyle w:val="Heading3"/>
            </w:pPr>
            <w:r>
              <w:t>EDUCATION &amp; CREDENTIALS</w:t>
            </w:r>
          </w:p>
        </w:tc>
      </w:tr>
    </w:tbl>
    <w:p w14:paraId="6CF30DD2" w14:textId="77777777" w:rsidR="00FC4E83" w:rsidRDefault="00FC4E83">
      <w:pPr>
        <w:pStyle w:val="AfterSectionNamePadding"/>
      </w:pPr>
    </w:p>
    <w:p w14:paraId="43662188" w14:textId="77777777" w:rsidR="00FC4E83" w:rsidRDefault="00000000">
      <w:pPr>
        <w:pStyle w:val="Heading4"/>
        <w:tabs>
          <w:tab w:val="right" w:pos="10800"/>
        </w:tabs>
        <w:spacing w:after="40"/>
      </w:pPr>
      <w:r>
        <w:t xml:space="preserve">Al-Basra University – College of Engineering </w:t>
      </w:r>
      <w:r>
        <w:tab/>
        <w:t xml:space="preserve"> </w:t>
      </w:r>
    </w:p>
    <w:p w14:paraId="40213C24" w14:textId="77777777" w:rsidR="00FC4E83" w:rsidRDefault="00000000">
      <w:r>
        <w:t>Bachelor of Science in Computer Engineering</w:t>
      </w:r>
    </w:p>
    <w:p w14:paraId="560D13D5" w14:textId="77777777" w:rsidR="00FC4E83" w:rsidRDefault="00FC4E83">
      <w:pPr>
        <w:spacing w:after="20"/>
        <w:rPr>
          <w:sz w:val="2"/>
          <w:szCs w:val="2"/>
        </w:rPr>
      </w:pPr>
    </w:p>
    <w:p w14:paraId="4EBEBBA7" w14:textId="77777777" w:rsidR="00FC4E83" w:rsidRDefault="00000000">
      <w:r>
        <w:t xml:space="preserve">Graduated with Honors (GPA: 3.91) – Degree evaluated by WES </w:t>
      </w:r>
    </w:p>
    <w:p w14:paraId="0631D761" w14:textId="77777777" w:rsidR="00FC4E83" w:rsidRDefault="00FC4E83">
      <w:pPr>
        <w:pStyle w:val="AfterSectionPadding"/>
      </w:pPr>
    </w:p>
    <w:tbl>
      <w:tblPr>
        <w:tblW w:w="10800" w:type="auto"/>
        <w:tblBorders>
          <w:top w:val="single" w:sz="1" w:space="0" w:color="2163CA"/>
          <w:bottom w:val="single" w:sz="1" w:space="0" w:color="2163CA"/>
        </w:tblBorders>
        <w:tblLayout w:type="fixed"/>
        <w:tblCellMar>
          <w:left w:w="10" w:type="dxa"/>
          <w:right w:w="10" w:type="dxa"/>
        </w:tblCellMar>
        <w:tblLook w:val="04A0" w:firstRow="1" w:lastRow="0" w:firstColumn="1" w:lastColumn="0" w:noHBand="0" w:noVBand="1"/>
      </w:tblPr>
      <w:tblGrid>
        <w:gridCol w:w="10800"/>
      </w:tblGrid>
      <w:tr w:rsidR="00FC4E83" w14:paraId="1002E278" w14:textId="77777777">
        <w:tblPrEx>
          <w:tblCellMar>
            <w:top w:w="0" w:type="dxa"/>
            <w:bottom w:w="0" w:type="dxa"/>
          </w:tblCellMar>
        </w:tblPrEx>
        <w:tc>
          <w:tcPr>
            <w:tcW w:w="10800" w:type="dxa"/>
            <w:tcMar>
              <w:left w:w="0" w:type="dxa"/>
            </w:tcMar>
          </w:tcPr>
          <w:p w14:paraId="41205252" w14:textId="77777777" w:rsidR="00FC4E83" w:rsidRDefault="00000000">
            <w:pPr>
              <w:pStyle w:val="Heading3"/>
            </w:pPr>
            <w:r>
              <w:t>ADDITIONAL INFORMATION</w:t>
            </w:r>
          </w:p>
        </w:tc>
      </w:tr>
    </w:tbl>
    <w:p w14:paraId="59B6BE6E" w14:textId="77777777" w:rsidR="00FC4E83" w:rsidRDefault="00FC4E83">
      <w:pPr>
        <w:pStyle w:val="AfterSectionNamePadding"/>
      </w:pPr>
    </w:p>
    <w:p w14:paraId="52B45B93" w14:textId="77777777" w:rsidR="00FC4E83" w:rsidRDefault="00000000">
      <w:pPr>
        <w:pStyle w:val="Heading4"/>
        <w:tabs>
          <w:tab w:val="right" w:pos="10800"/>
        </w:tabs>
      </w:pPr>
      <w:r>
        <w:t xml:space="preserve">Work Authorization </w:t>
      </w:r>
      <w:r>
        <w:tab/>
        <w:t xml:space="preserve"> </w:t>
      </w:r>
    </w:p>
    <w:p w14:paraId="6C29F988" w14:textId="77777777" w:rsidR="00FC4E83" w:rsidRDefault="00FC4E83">
      <w:pPr>
        <w:spacing w:after="20"/>
        <w:rPr>
          <w:sz w:val="2"/>
          <w:szCs w:val="2"/>
        </w:rPr>
      </w:pPr>
    </w:p>
    <w:p w14:paraId="2156BC29" w14:textId="77777777" w:rsidR="00FC4E83" w:rsidRDefault="00000000">
      <w:r>
        <w:t xml:space="preserve">Authorized to work in the United States for any employer. </w:t>
      </w:r>
    </w:p>
    <w:p w14:paraId="177D3E26" w14:textId="77777777" w:rsidR="00FC4E83" w:rsidRDefault="00FC4E83">
      <w:pPr>
        <w:pStyle w:val="AfterCardPadding"/>
      </w:pPr>
    </w:p>
    <w:p w14:paraId="3AC5F5B2" w14:textId="77777777" w:rsidR="00FC4E83" w:rsidRDefault="00000000">
      <w:pPr>
        <w:pStyle w:val="Heading4"/>
        <w:tabs>
          <w:tab w:val="right" w:pos="10800"/>
        </w:tabs>
      </w:pPr>
      <w:r>
        <w:t xml:space="preserve">Languages </w:t>
      </w:r>
      <w:r>
        <w:tab/>
        <w:t xml:space="preserve"> </w:t>
      </w:r>
    </w:p>
    <w:p w14:paraId="576F88DA" w14:textId="77777777" w:rsidR="00FC4E83" w:rsidRDefault="00FC4E83">
      <w:pPr>
        <w:spacing w:after="20"/>
        <w:rPr>
          <w:sz w:val="2"/>
          <w:szCs w:val="2"/>
        </w:rPr>
      </w:pPr>
    </w:p>
    <w:p w14:paraId="6CE1EF34" w14:textId="77777777" w:rsidR="00FC4E83" w:rsidRDefault="00000000">
      <w:r>
        <w:t xml:space="preserve">English, Arabic </w:t>
      </w:r>
    </w:p>
    <w:p w14:paraId="32A2A031" w14:textId="77777777" w:rsidR="00FC4E83" w:rsidRDefault="00FC4E83">
      <w:pPr>
        <w:pStyle w:val="AfterSectionPadding"/>
      </w:pPr>
    </w:p>
    <w:tbl>
      <w:tblPr>
        <w:tblW w:w="10800" w:type="auto"/>
        <w:tblBorders>
          <w:top w:val="single" w:sz="1" w:space="0" w:color="2163CA"/>
          <w:bottom w:val="single" w:sz="1" w:space="0" w:color="2163CA"/>
        </w:tblBorders>
        <w:tblLayout w:type="fixed"/>
        <w:tblCellMar>
          <w:left w:w="10" w:type="dxa"/>
          <w:right w:w="10" w:type="dxa"/>
        </w:tblCellMar>
        <w:tblLook w:val="04A0" w:firstRow="1" w:lastRow="0" w:firstColumn="1" w:lastColumn="0" w:noHBand="0" w:noVBand="1"/>
      </w:tblPr>
      <w:tblGrid>
        <w:gridCol w:w="10800"/>
      </w:tblGrid>
      <w:tr w:rsidR="00FC4E83" w14:paraId="21D8DA87" w14:textId="77777777">
        <w:tblPrEx>
          <w:tblCellMar>
            <w:top w:w="0" w:type="dxa"/>
            <w:bottom w:w="0" w:type="dxa"/>
          </w:tblCellMar>
        </w:tblPrEx>
        <w:tc>
          <w:tcPr>
            <w:tcW w:w="10800" w:type="dxa"/>
            <w:tcMar>
              <w:left w:w="0" w:type="dxa"/>
            </w:tcMar>
          </w:tcPr>
          <w:p w14:paraId="23E84CD9" w14:textId="77777777" w:rsidR="00FC4E83" w:rsidRDefault="00000000">
            <w:pPr>
              <w:pStyle w:val="Heading3"/>
            </w:pPr>
            <w:r>
              <w:t>LANGUAGES</w:t>
            </w:r>
          </w:p>
        </w:tc>
      </w:tr>
    </w:tbl>
    <w:p w14:paraId="174441A4" w14:textId="77777777" w:rsidR="00FC4E83" w:rsidRDefault="00FC4E83">
      <w:pPr>
        <w:pStyle w:val="AfterSectionNamePadding"/>
      </w:pPr>
    </w:p>
    <w:p w14:paraId="3096E6D4" w14:textId="77777777" w:rsidR="00FC4E83" w:rsidRDefault="00000000">
      <w:r>
        <w:t>English, Arabic</w:t>
      </w:r>
    </w:p>
    <w:p w14:paraId="282219F9" w14:textId="77777777" w:rsidR="00FC4E83" w:rsidRDefault="00FC4E83">
      <w:pPr>
        <w:pStyle w:val="AfterSectionPadding"/>
      </w:pPr>
    </w:p>
    <w:sectPr w:rsidR="00FC4E83">
      <w:footerReference w:type="default" r:id="rId8"/>
      <w:footerReference w:type="first" r:id="rId9"/>
      <w:pgSz w:w="12240" w:h="15840"/>
      <w:pgMar w:top="720" w:right="720" w:bottom="720" w:left="720" w:header="431" w:footer="4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0DAC" w14:textId="77777777" w:rsidR="00D27DF6" w:rsidRDefault="00D27DF6">
      <w:r>
        <w:separator/>
      </w:r>
    </w:p>
  </w:endnote>
  <w:endnote w:type="continuationSeparator" w:id="0">
    <w:p w14:paraId="4F223D9F" w14:textId="77777777" w:rsidR="00D27DF6" w:rsidRDefault="00D2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4450" w14:textId="77777777" w:rsidR="00FC4E83" w:rsidRDefault="00000000">
    <w:pPr>
      <w:tabs>
        <w:tab w:val="right" w:pos="10800"/>
      </w:tabs>
    </w:pPr>
    <w:r>
      <w:tab/>
    </w:r>
    <w:r>
      <w:rPr>
        <w:color w:val="2163CA"/>
      </w:rPr>
      <w:t xml:space="preserve">Page </w:t>
    </w:r>
    <w:r>
      <w:rPr>
        <w:color w:val="2163CA"/>
      </w:rPr>
      <w:fldChar w:fldCharType="begin"/>
    </w:r>
    <w:r>
      <w:rPr>
        <w:color w:val="2163CA"/>
      </w:rPr>
      <w:instrText>PAGE</w:instrText>
    </w:r>
    <w:r>
      <w:rPr>
        <w:color w:val="2163CA"/>
      </w:rPr>
      <w:fldChar w:fldCharType="separate"/>
    </w:r>
    <w:r w:rsidR="00C22B62">
      <w:rPr>
        <w:noProof/>
        <w:color w:val="2163CA"/>
      </w:rPr>
      <w:t>2</w:t>
    </w:r>
    <w:r>
      <w:rPr>
        <w:color w:val="2163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1977" w14:textId="77777777" w:rsidR="00FC4E83" w:rsidRDefault="00000000">
    <w:pPr>
      <w:tabs>
        <w:tab w:val="right" w:pos="10800"/>
      </w:tabs>
    </w:pPr>
    <w:r>
      <w:tab/>
    </w:r>
    <w:r>
      <w:rPr>
        <w:color w:val="2163CA"/>
      </w:rPr>
      <w:t xml:space="preserve">Page </w:t>
    </w:r>
    <w:r>
      <w:rPr>
        <w:color w:val="2163CA"/>
      </w:rPr>
      <w:fldChar w:fldCharType="begin"/>
    </w:r>
    <w:r>
      <w:rPr>
        <w:color w:val="2163CA"/>
      </w:rPr>
      <w:instrText>PAGE</w:instrText>
    </w:r>
    <w:r>
      <w:rPr>
        <w:color w:val="2163CA"/>
      </w:rPr>
      <w:fldChar w:fldCharType="separate"/>
    </w:r>
    <w:r w:rsidR="00C22B62">
      <w:rPr>
        <w:noProof/>
        <w:color w:val="2163CA"/>
      </w:rPr>
      <w:t>1</w:t>
    </w:r>
    <w:r>
      <w:rPr>
        <w:color w:val="2163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17ED" w14:textId="77777777" w:rsidR="00D27DF6" w:rsidRDefault="00D27DF6">
      <w:r>
        <w:separator/>
      </w:r>
    </w:p>
  </w:footnote>
  <w:footnote w:type="continuationSeparator" w:id="0">
    <w:p w14:paraId="5EDCD073" w14:textId="77777777" w:rsidR="00D27DF6" w:rsidRDefault="00D27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2A96"/>
    <w:multiLevelType w:val="hybridMultilevel"/>
    <w:tmpl w:val="E9C836E2"/>
    <w:lvl w:ilvl="0" w:tplc="EA36B364">
      <w:start w:val="1"/>
      <w:numFmt w:val="bullet"/>
      <w:lvlText w:val="●"/>
      <w:lvlJc w:val="left"/>
      <w:pPr>
        <w:ind w:left="720" w:hanging="360"/>
      </w:pPr>
    </w:lvl>
    <w:lvl w:ilvl="1" w:tplc="96445056">
      <w:start w:val="1"/>
      <w:numFmt w:val="bullet"/>
      <w:lvlText w:val="○"/>
      <w:lvlJc w:val="left"/>
      <w:pPr>
        <w:ind w:left="1440" w:hanging="360"/>
      </w:pPr>
    </w:lvl>
    <w:lvl w:ilvl="2" w:tplc="84C01C82">
      <w:start w:val="1"/>
      <w:numFmt w:val="bullet"/>
      <w:lvlText w:val="■"/>
      <w:lvlJc w:val="left"/>
      <w:pPr>
        <w:ind w:left="2160" w:hanging="360"/>
      </w:pPr>
    </w:lvl>
    <w:lvl w:ilvl="3" w:tplc="EDAA5554">
      <w:start w:val="1"/>
      <w:numFmt w:val="bullet"/>
      <w:lvlText w:val="●"/>
      <w:lvlJc w:val="left"/>
      <w:pPr>
        <w:ind w:left="2880" w:hanging="360"/>
      </w:pPr>
    </w:lvl>
    <w:lvl w:ilvl="4" w:tplc="F266F2E0">
      <w:start w:val="1"/>
      <w:numFmt w:val="bullet"/>
      <w:lvlText w:val="○"/>
      <w:lvlJc w:val="left"/>
      <w:pPr>
        <w:ind w:left="3600" w:hanging="360"/>
      </w:pPr>
    </w:lvl>
    <w:lvl w:ilvl="5" w:tplc="3F8C6FCA">
      <w:start w:val="1"/>
      <w:numFmt w:val="bullet"/>
      <w:lvlText w:val="■"/>
      <w:lvlJc w:val="left"/>
      <w:pPr>
        <w:ind w:left="4320" w:hanging="360"/>
      </w:pPr>
    </w:lvl>
    <w:lvl w:ilvl="6" w:tplc="0D96AA5E">
      <w:start w:val="1"/>
      <w:numFmt w:val="bullet"/>
      <w:lvlText w:val="●"/>
      <w:lvlJc w:val="left"/>
      <w:pPr>
        <w:ind w:left="5040" w:hanging="360"/>
      </w:pPr>
    </w:lvl>
    <w:lvl w:ilvl="7" w:tplc="549078E8">
      <w:start w:val="1"/>
      <w:numFmt w:val="bullet"/>
      <w:lvlText w:val="●"/>
      <w:lvlJc w:val="left"/>
      <w:pPr>
        <w:ind w:left="5760" w:hanging="360"/>
      </w:pPr>
    </w:lvl>
    <w:lvl w:ilvl="8" w:tplc="E4C62E8A">
      <w:start w:val="1"/>
      <w:numFmt w:val="bullet"/>
      <w:lvlText w:val="●"/>
      <w:lvlJc w:val="left"/>
      <w:pPr>
        <w:ind w:left="6480" w:hanging="360"/>
      </w:pPr>
    </w:lvl>
  </w:abstractNum>
  <w:abstractNum w:abstractNumId="1" w15:restartNumberingAfterBreak="0">
    <w:nsid w:val="478B58C9"/>
    <w:multiLevelType w:val="hybridMultilevel"/>
    <w:tmpl w:val="CF823268"/>
    <w:lvl w:ilvl="0" w:tplc="39389C3A">
      <w:start w:val="1"/>
      <w:numFmt w:val="bullet"/>
      <w:lvlText w:val="•"/>
      <w:lvlJc w:val="left"/>
      <w:pPr>
        <w:ind w:left="431" w:hanging="144"/>
      </w:pPr>
    </w:lvl>
    <w:lvl w:ilvl="1" w:tplc="C590D9C8">
      <w:start w:val="1"/>
      <w:numFmt w:val="bullet"/>
      <w:lvlText w:val="○"/>
      <w:lvlJc w:val="left"/>
      <w:pPr>
        <w:ind w:left="863" w:hanging="144"/>
      </w:pPr>
    </w:lvl>
    <w:lvl w:ilvl="2" w:tplc="4E94032A">
      <w:numFmt w:val="decimal"/>
      <w:lvlText w:val=""/>
      <w:lvlJc w:val="left"/>
    </w:lvl>
    <w:lvl w:ilvl="3" w:tplc="D08AEBFA">
      <w:numFmt w:val="decimal"/>
      <w:lvlText w:val=""/>
      <w:lvlJc w:val="left"/>
    </w:lvl>
    <w:lvl w:ilvl="4" w:tplc="783AD6B4">
      <w:numFmt w:val="decimal"/>
      <w:lvlText w:val=""/>
      <w:lvlJc w:val="left"/>
    </w:lvl>
    <w:lvl w:ilvl="5" w:tplc="3426DCEC">
      <w:numFmt w:val="decimal"/>
      <w:lvlText w:val=""/>
      <w:lvlJc w:val="left"/>
    </w:lvl>
    <w:lvl w:ilvl="6" w:tplc="DC26390C">
      <w:numFmt w:val="decimal"/>
      <w:lvlText w:val=""/>
      <w:lvlJc w:val="left"/>
    </w:lvl>
    <w:lvl w:ilvl="7" w:tplc="E5AEE0F4">
      <w:numFmt w:val="decimal"/>
      <w:lvlText w:val=""/>
      <w:lvlJc w:val="left"/>
    </w:lvl>
    <w:lvl w:ilvl="8" w:tplc="8BAA6F6C">
      <w:numFmt w:val="decimal"/>
      <w:lvlText w:val=""/>
      <w:lvlJc w:val="left"/>
    </w:lvl>
  </w:abstractNum>
  <w:abstractNum w:abstractNumId="2" w15:restartNumberingAfterBreak="0">
    <w:nsid w:val="67527DC4"/>
    <w:multiLevelType w:val="hybridMultilevel"/>
    <w:tmpl w:val="4ED84254"/>
    <w:lvl w:ilvl="0" w:tplc="F066143C">
      <w:start w:val="1"/>
      <w:numFmt w:val="decimal"/>
      <w:lvlText w:val="%1."/>
      <w:lvlJc w:val="left"/>
      <w:pPr>
        <w:ind w:left="431" w:hanging="215"/>
      </w:pPr>
    </w:lvl>
    <w:lvl w:ilvl="1" w:tplc="7EE2291C">
      <w:start w:val="1"/>
      <w:numFmt w:val="lowerLetter"/>
      <w:lvlText w:val="%2."/>
      <w:lvlJc w:val="left"/>
      <w:pPr>
        <w:ind w:left="863" w:hanging="215"/>
      </w:pPr>
    </w:lvl>
    <w:lvl w:ilvl="2" w:tplc="8A7C5180">
      <w:numFmt w:val="decimal"/>
      <w:lvlText w:val=""/>
      <w:lvlJc w:val="left"/>
    </w:lvl>
    <w:lvl w:ilvl="3" w:tplc="191A7AEC">
      <w:numFmt w:val="decimal"/>
      <w:lvlText w:val=""/>
      <w:lvlJc w:val="left"/>
    </w:lvl>
    <w:lvl w:ilvl="4" w:tplc="3C92FB04">
      <w:numFmt w:val="decimal"/>
      <w:lvlText w:val=""/>
      <w:lvlJc w:val="left"/>
    </w:lvl>
    <w:lvl w:ilvl="5" w:tplc="644298E8">
      <w:numFmt w:val="decimal"/>
      <w:lvlText w:val=""/>
      <w:lvlJc w:val="left"/>
    </w:lvl>
    <w:lvl w:ilvl="6" w:tplc="63AE9482">
      <w:numFmt w:val="decimal"/>
      <w:lvlText w:val=""/>
      <w:lvlJc w:val="left"/>
    </w:lvl>
    <w:lvl w:ilvl="7" w:tplc="B3B83BF2">
      <w:numFmt w:val="decimal"/>
      <w:lvlText w:val=""/>
      <w:lvlJc w:val="left"/>
    </w:lvl>
    <w:lvl w:ilvl="8" w:tplc="FCF0066C">
      <w:numFmt w:val="decimal"/>
      <w:lvlText w:val=""/>
      <w:lvlJc w:val="left"/>
    </w:lvl>
  </w:abstractNum>
  <w:num w:numId="1" w16cid:durableId="1297685480">
    <w:abstractNumId w:val="0"/>
    <w:lvlOverride w:ilvl="0">
      <w:startOverride w:val="1"/>
    </w:lvlOverride>
  </w:num>
  <w:num w:numId="2" w16cid:durableId="1714495637">
    <w:abstractNumId w:val="1"/>
    <w:lvlOverride w:ilvl="0">
      <w:startOverride w:val="1"/>
    </w:lvlOverride>
  </w:num>
  <w:num w:numId="3" w16cid:durableId="1330910982">
    <w:abstractNumId w:val="1"/>
    <w:lvlOverride w:ilvl="0">
      <w:startOverride w:val="1"/>
    </w:lvlOverride>
  </w:num>
  <w:num w:numId="4" w16cid:durableId="709493694">
    <w:abstractNumId w:val="1"/>
    <w:lvlOverride w:ilvl="0">
      <w:startOverride w:val="1"/>
    </w:lvlOverride>
  </w:num>
  <w:num w:numId="5" w16cid:durableId="1571696000">
    <w:abstractNumId w:val="1"/>
    <w:lvlOverride w:ilvl="0">
      <w:startOverride w:val="1"/>
    </w:lvlOverride>
  </w:num>
  <w:num w:numId="6" w16cid:durableId="1696424275">
    <w:abstractNumId w:val="1"/>
    <w:lvlOverride w:ilvl="0">
      <w:startOverride w:val="1"/>
    </w:lvlOverride>
  </w:num>
  <w:num w:numId="7" w16cid:durableId="70390782">
    <w:abstractNumId w:val="1"/>
    <w:lvlOverride w:ilvl="0">
      <w:startOverride w:val="1"/>
    </w:lvlOverride>
  </w:num>
  <w:num w:numId="8" w16cid:durableId="1706176267">
    <w:abstractNumId w:val="1"/>
    <w:lvlOverride w:ilvl="0">
      <w:startOverride w:val="1"/>
    </w:lvlOverride>
  </w:num>
  <w:num w:numId="9" w16cid:durableId="1195538127">
    <w:abstractNumId w:val="1"/>
    <w:lvlOverride w:ilvl="0">
      <w:startOverride w:val="1"/>
    </w:lvlOverride>
  </w:num>
  <w:num w:numId="10" w16cid:durableId="1129663562">
    <w:abstractNumId w:val="1"/>
    <w:lvlOverride w:ilvl="0">
      <w:startOverride w:val="1"/>
    </w:lvlOverride>
  </w:num>
  <w:num w:numId="11" w16cid:durableId="26950764">
    <w:abstractNumId w:val="1"/>
    <w:lvlOverride w:ilvl="0">
      <w:startOverride w:val="1"/>
    </w:lvlOverride>
  </w:num>
  <w:num w:numId="12" w16cid:durableId="161243402">
    <w:abstractNumId w:val="1"/>
    <w:lvlOverride w:ilvl="0">
      <w:startOverride w:val="1"/>
    </w:lvlOverride>
  </w:num>
  <w:num w:numId="13" w16cid:durableId="1582063786">
    <w:abstractNumId w:val="1"/>
    <w:lvlOverride w:ilvl="0">
      <w:startOverride w:val="1"/>
    </w:lvlOverride>
  </w:num>
  <w:num w:numId="14" w16cid:durableId="1889606025">
    <w:abstractNumId w:val="1"/>
    <w:lvlOverride w:ilvl="0">
      <w:startOverride w:val="1"/>
    </w:lvlOverride>
  </w:num>
  <w:num w:numId="15" w16cid:durableId="2075464307">
    <w:abstractNumId w:val="1"/>
    <w:lvlOverride w:ilvl="0">
      <w:startOverride w:val="1"/>
    </w:lvlOverride>
  </w:num>
  <w:num w:numId="16" w16cid:durableId="1079667699">
    <w:abstractNumId w:val="1"/>
    <w:lvlOverride w:ilvl="0">
      <w:startOverride w:val="1"/>
    </w:lvlOverride>
  </w:num>
  <w:num w:numId="17" w16cid:durableId="1176067965">
    <w:abstractNumId w:val="1"/>
    <w:lvlOverride w:ilvl="0">
      <w:startOverride w:val="1"/>
    </w:lvlOverride>
  </w:num>
  <w:num w:numId="18" w16cid:durableId="347800509">
    <w:abstractNumId w:val="1"/>
    <w:lvlOverride w:ilvl="0">
      <w:startOverride w:val="1"/>
    </w:lvlOverride>
  </w:num>
  <w:num w:numId="19" w16cid:durableId="1341351511">
    <w:abstractNumId w:val="1"/>
    <w:lvlOverride w:ilvl="0">
      <w:startOverride w:val="1"/>
    </w:lvlOverride>
  </w:num>
  <w:num w:numId="20" w16cid:durableId="1085155041">
    <w:abstractNumId w:val="1"/>
    <w:lvlOverride w:ilvl="0">
      <w:startOverride w:val="1"/>
    </w:lvlOverride>
  </w:num>
  <w:num w:numId="21" w16cid:durableId="1857765015">
    <w:abstractNumId w:val="1"/>
    <w:lvlOverride w:ilvl="0">
      <w:startOverride w:val="1"/>
    </w:lvlOverride>
  </w:num>
  <w:num w:numId="22" w16cid:durableId="1332218692">
    <w:abstractNumId w:val="1"/>
    <w:lvlOverride w:ilvl="0">
      <w:startOverride w:val="1"/>
    </w:lvlOverride>
  </w:num>
  <w:num w:numId="23" w16cid:durableId="1058744092">
    <w:abstractNumId w:val="1"/>
    <w:lvlOverride w:ilvl="0">
      <w:startOverride w:val="1"/>
    </w:lvlOverride>
  </w:num>
  <w:num w:numId="24" w16cid:durableId="15351925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83"/>
    <w:rsid w:val="00AE7DF3"/>
    <w:rsid w:val="00C22B62"/>
    <w:rsid w:val="00D27DF6"/>
    <w:rsid w:val="00FC4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5DFF"/>
  <w15:docId w15:val="{12E5A3C6-D348-4246-BFCB-1B7DBF8D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color w:val="1E2532"/>
    </w:rPr>
  </w:style>
  <w:style w:type="paragraph" w:styleId="Heading1">
    <w:name w:val="heading 1"/>
    <w:basedOn w:val="Normal"/>
    <w:next w:val="Normal"/>
    <w:uiPriority w:val="9"/>
    <w:qFormat/>
    <w:pPr>
      <w:outlineLvl w:val="0"/>
    </w:pPr>
    <w:rPr>
      <w:b/>
      <w:bCs/>
      <w:color w:val="2163CA"/>
      <w:sz w:val="48"/>
      <w:szCs w:val="48"/>
    </w:rPr>
  </w:style>
  <w:style w:type="paragraph" w:styleId="Heading2">
    <w:name w:val="heading 2"/>
    <w:basedOn w:val="Normal"/>
    <w:next w:val="Normal"/>
    <w:uiPriority w:val="9"/>
    <w:unhideWhenUsed/>
    <w:qFormat/>
    <w:pPr>
      <w:outlineLvl w:val="1"/>
    </w:pPr>
    <w:rPr>
      <w:b/>
      <w:bCs/>
      <w:sz w:val="32"/>
      <w:szCs w:val="32"/>
    </w:rPr>
  </w:style>
  <w:style w:type="paragraph" w:styleId="Heading3">
    <w:name w:val="heading 3"/>
    <w:basedOn w:val="Normal"/>
    <w:next w:val="Normal"/>
    <w:uiPriority w:val="9"/>
    <w:unhideWhenUsed/>
    <w:qFormat/>
    <w:pPr>
      <w:spacing w:before="40"/>
      <w:outlineLvl w:val="2"/>
    </w:pPr>
    <w:rPr>
      <w:b/>
      <w:bCs/>
      <w:color w:val="2163CA"/>
      <w:sz w:val="24"/>
      <w:szCs w:val="24"/>
    </w:rPr>
  </w:style>
  <w:style w:type="paragraph" w:styleId="Heading4">
    <w:name w:val="heading 4"/>
    <w:basedOn w:val="Normal"/>
    <w:next w:val="Normal"/>
    <w:uiPriority w:val="9"/>
    <w:unhideWhenUsed/>
    <w:qFormat/>
    <w:pPr>
      <w:outlineLvl w:val="3"/>
    </w:pPr>
    <w:rPr>
      <w:b/>
      <w:b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Contact">
    <w:name w:val="Contact"/>
    <w:basedOn w:val="Normal"/>
  </w:style>
  <w:style w:type="paragraph" w:customStyle="1" w:styleId="CardText">
    <w:name w:val="Card Text"/>
    <w:basedOn w:val="Normal"/>
  </w:style>
  <w:style w:type="paragraph" w:customStyle="1" w:styleId="AfterSectionNamePadding">
    <w:name w:val="After Section Name Padding"/>
    <w:basedOn w:val="Normal"/>
    <w:rPr>
      <w:sz w:val="12"/>
      <w:szCs w:val="12"/>
    </w:rPr>
  </w:style>
  <w:style w:type="paragraph" w:customStyle="1" w:styleId="AfterSectionPadding">
    <w:name w:val="After Section Padding"/>
    <w:basedOn w:val="Normal"/>
    <w:rPr>
      <w:sz w:val="32"/>
      <w:szCs w:val="32"/>
    </w:rPr>
  </w:style>
  <w:style w:type="paragraph" w:customStyle="1" w:styleId="AfterCardPadding">
    <w:name w:val="After Card Padding"/>
    <w:basedOn w:val="Normal"/>
    <w:rPr>
      <w:sz w:val="12"/>
      <w:szCs w:val="12"/>
    </w:rPr>
  </w:style>
  <w:style w:type="character" w:styleId="FollowedHyperlink">
    <w:name w:val="FollowedHyperlink"/>
    <w:uiPriority w:val="99"/>
    <w:unhideWhenUsed/>
    <w:rPr>
      <w:color w:val="954F72"/>
      <w:u w:val="single"/>
    </w:rPr>
  </w:style>
  <w:style w:type="character" w:styleId="UnresolvedMention">
    <w:name w:val="Unresolved Mention"/>
    <w:basedOn w:val="DefaultParagraphFont"/>
    <w:uiPriority w:val="99"/>
    <w:semiHidden/>
    <w:unhideWhenUsed/>
    <w:rsid w:val="00C2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baker.zaid@albaker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5386</Characters>
  <Application>Microsoft Office Word</Application>
  <DocSecurity>0</DocSecurity>
  <Lines>153</Lines>
  <Paragraphs>121</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zaid albaker</cp:lastModifiedBy>
  <cp:revision>2</cp:revision>
  <dcterms:created xsi:type="dcterms:W3CDTF">2026-06-07T03:39:00Z</dcterms:created>
  <dcterms:modified xsi:type="dcterms:W3CDTF">2026-06-07T03:44:00Z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077aaff8-c23a-4a12-81c9-9543aad0f6e6</vt:lpwstr>
  </property>
</Properties>
</file>